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</w:rPr>
        <w:t>La lutte contre le CRP étant règlementée (</w:t>
      </w:r>
      <w:hyperlink r:id="rId4" w:history="1">
        <w:r w:rsidRPr="00610C65">
          <w:rPr>
            <w:rFonts w:ascii="Calibri" w:eastAsia="Calibri" w:hAnsi="Calibri" w:cs="Calibri"/>
            <w:color w:val="0563C1"/>
            <w:u w:val="single"/>
          </w:rPr>
          <w:t>arrêté du 25/06/2019</w:t>
        </w:r>
      </w:hyperlink>
      <w:r w:rsidRPr="00610C65">
        <w:rPr>
          <w:rFonts w:ascii="Calibri" w:eastAsia="Calibri" w:hAnsi="Calibri" w:cs="Calibri"/>
        </w:rPr>
        <w:t xml:space="preserve">, toujours en vigueur à ce jour), ce ravageur est concerné au point 6 de </w:t>
      </w:r>
      <w:hyperlink r:id="rId5" w:history="1">
        <w:r w:rsidRPr="00610C65">
          <w:rPr>
            <w:rFonts w:ascii="Calibri" w:eastAsia="Calibri" w:hAnsi="Calibri" w:cs="Calibri"/>
            <w:color w:val="0563C1"/>
            <w:u w:val="single"/>
          </w:rPr>
          <w:t>l’article L251-3 du code rural et de la pêche maritime</w:t>
        </w:r>
      </w:hyperlink>
      <w:r w:rsidRPr="00610C65">
        <w:rPr>
          <w:rFonts w:ascii="Calibri" w:eastAsia="Calibri" w:hAnsi="Calibri" w:cs="Calibri"/>
        </w:rPr>
        <w:t xml:space="preserve">, et déroge donc à la loi dite « Labbé 2 » entrée en vigueur au 01/07/2022 (point 1 de l’article 14-4 de </w:t>
      </w:r>
      <w:hyperlink r:id="rId6" w:history="1">
        <w:r w:rsidRPr="00610C65">
          <w:rPr>
            <w:rFonts w:ascii="Calibri" w:eastAsia="Calibri" w:hAnsi="Calibri" w:cs="Calibri"/>
            <w:color w:val="0563C1"/>
            <w:u w:val="single"/>
          </w:rPr>
          <w:t>l’arrêté du 04/05/2017</w:t>
        </w:r>
      </w:hyperlink>
      <w:r w:rsidRPr="00610C65">
        <w:rPr>
          <w:rFonts w:ascii="Calibri" w:eastAsia="Calibri" w:hAnsi="Calibri" w:cs="Calibri"/>
        </w:rPr>
        <w:t xml:space="preserve">, modifié par </w:t>
      </w:r>
      <w:hyperlink r:id="rId7" w:history="1">
        <w:r w:rsidRPr="00610C65">
          <w:rPr>
            <w:rFonts w:ascii="Calibri" w:eastAsia="Calibri" w:hAnsi="Calibri" w:cs="Calibri"/>
            <w:color w:val="0563C1"/>
            <w:u w:val="single"/>
          </w:rPr>
          <w:t>l’arrêté du 15/01/2021</w:t>
        </w:r>
      </w:hyperlink>
      <w:r w:rsidRPr="00610C65">
        <w:rPr>
          <w:rFonts w:ascii="Calibri" w:eastAsia="Calibri" w:hAnsi="Calibri" w:cs="Calibri"/>
        </w:rPr>
        <w:t>).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</w:rPr>
        <w:t xml:space="preserve">Ce n’est même pas une question de lutte « obligatoire » ou « non obligatoire », c’est une question que la lutte soit </w:t>
      </w:r>
      <w:r w:rsidRPr="00610C65">
        <w:rPr>
          <w:rFonts w:ascii="Calibri" w:eastAsia="Calibri" w:hAnsi="Calibri" w:cs="Calibri"/>
          <w:b/>
          <w:bCs/>
          <w:u w:val="single"/>
        </w:rPr>
        <w:t>règlementée par une autorité administrative</w:t>
      </w:r>
      <w:r w:rsidRPr="00610C65">
        <w:rPr>
          <w:rFonts w:ascii="Calibri" w:eastAsia="Calibri" w:hAnsi="Calibri" w:cs="Calibri"/>
        </w:rPr>
        <w:t xml:space="preserve"> (arrêté national, préfectoral ou municipal), ce qui est le cas du CRP (arrêté national).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</w:rPr>
        <w:t>Attention donc aux auditeurs qui prétendent que la technique d’injection serait interdite partout en zone méditerranéenne (espaces publics et privés) depuis le 01/07/2022 au motif que la lutte préventive n’y est plus obligatoire depuis le 25/06/2019 (!) : ce n’est pas la question. Autrement, ça reviendrait à dire que l’article 1 de l’arrêté du 25/06/2019 est contredit par l’article 7.b du même arrêté, ce qui est juridiquement inconcevable. Et ça reviendrait aussi à dire que les palmiers situés sur le domaine public n’auraient pas dû être injectés depuis le 25/06/2019, au motif que les produits de synthèse y sont déjà interdits depuis le 01/01/2019 (!!).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</w:rPr>
        <w:t xml:space="preserve">En effet, l’article 1 donne au CRP le </w:t>
      </w:r>
      <w:r w:rsidRPr="00610C65">
        <w:rPr>
          <w:rFonts w:ascii="Calibri" w:eastAsia="Calibri" w:hAnsi="Calibri" w:cs="Calibri"/>
          <w:b/>
          <w:bCs/>
          <w:u w:val="single"/>
        </w:rPr>
        <w:t>statut d’organisme nuisible règlementé</w:t>
      </w:r>
      <w:r w:rsidRPr="00610C65">
        <w:rPr>
          <w:rFonts w:ascii="Calibri" w:eastAsia="Calibri" w:hAnsi="Calibri" w:cs="Calibri"/>
        </w:rPr>
        <w:t>, qui déroge ainsi à la loi Labbé, versions 1 (espaces publics) et 2 (espaces privés).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</w:rPr>
        <w:t xml:space="preserve">L’article 7.b ne fait que préciser les </w:t>
      </w:r>
      <w:r w:rsidRPr="00610C65">
        <w:rPr>
          <w:rFonts w:ascii="Calibri" w:eastAsia="Calibri" w:hAnsi="Calibri" w:cs="Calibri"/>
          <w:b/>
          <w:bCs/>
          <w:u w:val="single"/>
        </w:rPr>
        <w:t>modalités pratiques de mise en œuvre des mesures de lutte préventive selon les lieux.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</w:rPr>
        <w:t>Ces 2 articles ne parlent pas du même sujet et ne se contredisent donc pas l’un l’autre.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</w:rPr>
        <w:t> 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</w:rPr>
        <w:t>Conclusion :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  <w:b/>
          <w:bCs/>
          <w:u w:val="single"/>
        </w:rPr>
        <w:t>Le REVIVE® 2 et le KARATE ZEON® sont tous les 2 utilisables pour la lutte contre le CRP sur l’ensemble du territoire national.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</w:rPr>
        <w:t> 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</w:rPr>
        <w:t>Et je reproduis la newsletter ci-dessous.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</w:rPr>
        <w:t> 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</w:rPr>
        <w:t>Si vous avez des questions ou des commentaires, n’hésitez pas.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</w:rPr>
        <w:t> 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</w:rPr>
        <w:t>Bien cordialement,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</w:rPr>
        <w:t> 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Arial" w:eastAsia="Calibri" w:hAnsi="Arial" w:cs="Arial"/>
          <w:b/>
          <w:bCs/>
          <w:sz w:val="18"/>
          <w:szCs w:val="18"/>
          <w:lang w:eastAsia="fr-FR"/>
        </w:rPr>
        <w:t>Damien du Laurens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Arial" w:eastAsia="Calibri" w:hAnsi="Arial" w:cs="Arial"/>
          <w:sz w:val="18"/>
          <w:szCs w:val="18"/>
          <w:lang w:eastAsia="fr-FR"/>
        </w:rPr>
        <w:t>Expert Technique Professionnal Solutions - France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Arial" w:eastAsia="Calibri" w:hAnsi="Arial" w:cs="Arial"/>
          <w:sz w:val="18"/>
          <w:szCs w:val="18"/>
          <w:lang w:eastAsia="fr-FR"/>
        </w:rPr>
        <w:t>Chef de Marché Cultures Ornementales - France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Arial" w:eastAsia="Calibri" w:hAnsi="Arial" w:cs="Arial"/>
          <w:sz w:val="18"/>
          <w:szCs w:val="18"/>
          <w:lang w:eastAsia="fr-FR"/>
        </w:rPr>
        <w:t> 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Arial" w:eastAsia="Calibri" w:hAnsi="Arial" w:cs="Arial"/>
          <w:noProof/>
          <w:sz w:val="16"/>
          <w:szCs w:val="16"/>
          <w:lang w:eastAsia="fr-FR"/>
        </w:rPr>
        <w:drawing>
          <wp:inline distT="0" distB="0" distL="0" distR="0">
            <wp:extent cx="2143125" cy="342900"/>
            <wp:effectExtent l="0" t="0" r="9525" b="0"/>
            <wp:docPr id="1" name="Image 1" descr="cid:image001.png@01D8CD05.7CD95C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png@01D8CD05.7CD95CA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Arial" w:eastAsia="Calibri" w:hAnsi="Arial" w:cs="Arial"/>
          <w:color w:val="626469"/>
          <w:sz w:val="16"/>
          <w:szCs w:val="16"/>
          <w:lang w:eastAsia="fr-FR"/>
        </w:rPr>
        <w:t>TreeCare – Gazons et Espaces Verts – Cultures Ornementales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Arial" w:eastAsia="Calibri" w:hAnsi="Arial" w:cs="Arial"/>
          <w:sz w:val="16"/>
          <w:szCs w:val="16"/>
          <w:lang w:eastAsia="fr-FR"/>
        </w:rPr>
        <w:t> 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Arial" w:eastAsia="Calibri" w:hAnsi="Arial" w:cs="Arial"/>
          <w:sz w:val="18"/>
          <w:szCs w:val="18"/>
          <w:lang w:eastAsia="fr-FR"/>
        </w:rPr>
        <w:t xml:space="preserve">Tel: </w:t>
      </w:r>
      <w:r w:rsidRPr="00610C65">
        <w:rPr>
          <w:rFonts w:ascii="Arial" w:eastAsia="Calibri" w:hAnsi="Arial" w:cs="Arial"/>
          <w:b/>
          <w:bCs/>
          <w:sz w:val="18"/>
          <w:szCs w:val="18"/>
          <w:lang w:eastAsia="fr-FR"/>
        </w:rPr>
        <w:t>+33 6 07 29 81 68</w:t>
      </w:r>
    </w:p>
    <w:p w:rsidR="00610C65" w:rsidRPr="00610C65" w:rsidRDefault="00D9396D" w:rsidP="00610C65">
      <w:pPr>
        <w:spacing w:after="0" w:line="240" w:lineRule="auto"/>
        <w:rPr>
          <w:rFonts w:ascii="Calibri" w:eastAsia="Calibri" w:hAnsi="Calibri" w:cs="Calibri"/>
        </w:rPr>
      </w:pPr>
      <w:hyperlink r:id="rId10" w:history="1">
        <w:r w:rsidR="00610C65" w:rsidRPr="00610C65">
          <w:rPr>
            <w:rFonts w:ascii="Arial" w:eastAsia="Calibri" w:hAnsi="Arial" w:cs="Arial"/>
            <w:b/>
            <w:bCs/>
            <w:color w:val="058B1F"/>
            <w:sz w:val="18"/>
            <w:szCs w:val="18"/>
            <w:lang w:eastAsia="fr-FR"/>
          </w:rPr>
          <w:t>www.syngenta-pro.fr</w:t>
        </w:r>
      </w:hyperlink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  <w:noProof/>
          <w:lang w:eastAsia="fr-FR"/>
        </w:rPr>
        <w:drawing>
          <wp:inline distT="0" distB="0" distL="0" distR="0">
            <wp:extent cx="200025" cy="200025"/>
            <wp:effectExtent l="0" t="0" r="9525" b="9525"/>
            <wp:docPr id="2" name="Image 2" descr="logo-LinkedIn - Exakis Neli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-LinkedIn - Exakis Nelite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C65">
        <w:rPr>
          <w:rFonts w:ascii="Calibri" w:eastAsia="Calibri" w:hAnsi="Calibri" w:cs="Calibri"/>
          <w:lang w:eastAsia="fr-FR"/>
        </w:rPr>
        <w:t xml:space="preserve">  </w:t>
      </w:r>
      <w:hyperlink r:id="rId14" w:history="1">
        <w:r w:rsidRPr="00610C65">
          <w:rPr>
            <w:rFonts w:ascii="Calibri" w:eastAsia="Calibri" w:hAnsi="Calibri" w:cs="Calibri"/>
            <w:b/>
            <w:bCs/>
            <w:i/>
            <w:iCs/>
            <w:color w:val="4472C4"/>
            <w:sz w:val="20"/>
            <w:szCs w:val="20"/>
            <w:lang w:eastAsia="fr-FR"/>
          </w:rPr>
          <w:t xml:space="preserve">Retrouvez toutes nos actualités sur </w:t>
        </w:r>
        <w:r w:rsidRPr="00610C65">
          <w:rPr>
            <w:rFonts w:ascii="Calibri" w:eastAsia="Calibri" w:hAnsi="Calibri" w:cs="Calibri"/>
            <w:b/>
            <w:bCs/>
            <w:i/>
            <w:iCs/>
            <w:color w:val="4472C4"/>
            <w:sz w:val="20"/>
            <w:szCs w:val="20"/>
            <w:u w:val="single"/>
            <w:lang w:eastAsia="fr-FR"/>
          </w:rPr>
          <w:t>LinkedIn</w:t>
        </w:r>
      </w:hyperlink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Arial" w:eastAsia="Calibri" w:hAnsi="Arial" w:cs="Arial"/>
          <w:color w:val="626469"/>
          <w:sz w:val="16"/>
          <w:szCs w:val="16"/>
          <w:lang w:eastAsia="fr-FR"/>
        </w:rPr>
        <w:t> 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  <w:noProof/>
          <w:color w:val="1F497D"/>
          <w:lang w:eastAsia="fr-FR"/>
        </w:rPr>
        <w:drawing>
          <wp:inline distT="0" distB="0" distL="0" distR="0">
            <wp:extent cx="1095375" cy="342900"/>
            <wp:effectExtent l="0" t="0" r="0" b="0"/>
            <wp:docPr id="3" name="Image 1" descr="cid:image003.png@01D8CD05.7CD95C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3.png@01D8CD05.7CD95CA0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Arial" w:eastAsia="Calibri" w:hAnsi="Arial" w:cs="Arial"/>
          <w:color w:val="626469"/>
          <w:sz w:val="16"/>
          <w:szCs w:val="16"/>
          <w:lang w:eastAsia="fr-FR"/>
        </w:rPr>
        <w:t>Syngenta France SAS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Arial" w:eastAsia="Calibri" w:hAnsi="Arial" w:cs="Arial"/>
          <w:color w:val="626469"/>
          <w:sz w:val="16"/>
          <w:szCs w:val="16"/>
          <w:lang w:eastAsia="fr-FR"/>
        </w:rPr>
        <w:t>1, avenue des Prés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Arial" w:eastAsia="Calibri" w:hAnsi="Arial" w:cs="Arial"/>
          <w:color w:val="626469"/>
          <w:sz w:val="16"/>
          <w:szCs w:val="16"/>
          <w:lang w:eastAsia="fr-FR"/>
        </w:rPr>
        <w:t>CS 10537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Arial" w:eastAsia="Calibri" w:hAnsi="Arial" w:cs="Arial"/>
          <w:color w:val="626469"/>
          <w:sz w:val="16"/>
          <w:szCs w:val="16"/>
          <w:lang w:eastAsia="fr-FR"/>
        </w:rPr>
        <w:t>78286 Guyancourt Cedex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Arial" w:eastAsia="Calibri" w:hAnsi="Arial" w:cs="Arial"/>
          <w:color w:val="626469"/>
          <w:sz w:val="16"/>
          <w:szCs w:val="16"/>
          <w:lang w:eastAsia="fr-FR"/>
        </w:rPr>
        <w:t>France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  <w:lang w:eastAsia="fr-FR"/>
        </w:rPr>
        <w:t> 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  <w:lang w:eastAsia="fr-FR"/>
        </w:rPr>
        <w:t xml:space="preserve">Mentions légales des produits cités : </w:t>
      </w:r>
      <w:hyperlink r:id="rId17" w:history="1">
        <w:r w:rsidRPr="00610C65">
          <w:rPr>
            <w:rFonts w:ascii="Calibri" w:eastAsia="Calibri" w:hAnsi="Calibri" w:cs="Calibri"/>
            <w:color w:val="0563C1"/>
            <w:u w:val="single"/>
            <w:lang w:eastAsia="fr-FR"/>
          </w:rPr>
          <w:t>cliquez ici</w:t>
        </w:r>
      </w:hyperlink>
      <w:r w:rsidRPr="00610C65">
        <w:rPr>
          <w:rFonts w:ascii="Calibri" w:eastAsia="Calibri" w:hAnsi="Calibri" w:cs="Calibri"/>
          <w:lang w:eastAsia="fr-FR"/>
        </w:rPr>
        <w:t>.</w:t>
      </w:r>
    </w:p>
    <w:p w:rsidR="00610C65" w:rsidRPr="00610C65" w:rsidRDefault="00610C65" w:rsidP="00610C65">
      <w:pPr>
        <w:spacing w:after="0" w:line="240" w:lineRule="auto"/>
        <w:rPr>
          <w:rFonts w:ascii="Calibri" w:eastAsia="Calibri" w:hAnsi="Calibri" w:cs="Calibri"/>
        </w:rPr>
      </w:pPr>
      <w:r w:rsidRPr="00610C65">
        <w:rPr>
          <w:rFonts w:ascii="Calibri" w:eastAsia="Calibri" w:hAnsi="Calibri" w:cs="Calibri"/>
          <w:lang w:eastAsia="fr-FR"/>
        </w:rPr>
        <w:t> </w:t>
      </w:r>
    </w:p>
    <w:p w:rsidR="0076197B" w:rsidRDefault="0076197B">
      <w:bookmarkStart w:id="0" w:name="_GoBack"/>
      <w:bookmarkEnd w:id="0"/>
    </w:p>
    <w:sectPr w:rsidR="0076197B" w:rsidSect="00D93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0C65"/>
    <w:rsid w:val="00610C65"/>
    <w:rsid w:val="0076197B"/>
    <w:rsid w:val="007E264B"/>
    <w:rsid w:val="00D93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9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0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0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2.png@01D8CD05.7CD95CA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jorf/id/JORFTEXT000043023130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syngenta-pro.fr/mentions-legales-produits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03.png@01D8CD05.7CD95CA0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loda/id/JORFTEXT000034603791/" TargetMode="External"/><Relationship Id="rId11" Type="http://schemas.openxmlformats.org/officeDocument/2006/relationships/hyperlink" Target="https://www.linkedin.com/company/syngenta-professional-solutions-france" TargetMode="External"/><Relationship Id="rId5" Type="http://schemas.openxmlformats.org/officeDocument/2006/relationships/hyperlink" Target="https://www.legifrance.gouv.fr/codes/article_lc/LEGIARTI000039329360/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://www.syngenta-pro.fr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legifrance.gouv.fr/affichTexte.do?cidTexte=JORFTEXT000038712163&amp;categorieLien=id" TargetMode="External"/><Relationship Id="rId9" Type="http://schemas.openxmlformats.org/officeDocument/2006/relationships/image" Target="cid:image001.png@01D8CD05.7CD95CA0" TargetMode="External"/><Relationship Id="rId14" Type="http://schemas.openxmlformats.org/officeDocument/2006/relationships/hyperlink" Target="https://www.linkedin.com/company/syngenta-professional-solutions-franc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ramorino jm</dc:creator>
  <cp:lastModifiedBy>DANIEL</cp:lastModifiedBy>
  <cp:revision>2</cp:revision>
  <dcterms:created xsi:type="dcterms:W3CDTF">2022-10-14T13:21:00Z</dcterms:created>
  <dcterms:modified xsi:type="dcterms:W3CDTF">2022-10-14T13:21:00Z</dcterms:modified>
</cp:coreProperties>
</file>